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55B4" w14:textId="0800D0E1" w:rsidR="002B5BC3" w:rsidRPr="00A30DBD" w:rsidRDefault="00F42A5D" w:rsidP="00F42A5D">
      <w:pPr>
        <w:rPr>
          <w:b/>
          <w:bCs/>
          <w:sz w:val="24"/>
          <w:szCs w:val="24"/>
        </w:rPr>
      </w:pPr>
      <w:bookmarkStart w:id="0" w:name="_Hlk213310843"/>
      <w:r w:rsidRPr="00A30DBD">
        <w:rPr>
          <w:b/>
          <w:bCs/>
          <w:sz w:val="24"/>
          <w:szCs w:val="24"/>
        </w:rPr>
        <w:t>3GPP TSG-RAN WG1 Meeting #123</w:t>
      </w:r>
      <w:r w:rsidR="002B5BC3" w:rsidRPr="00A30DBD">
        <w:rPr>
          <w:b/>
          <w:bCs/>
          <w:sz w:val="24"/>
          <w:szCs w:val="24"/>
        </w:rPr>
        <w:tab/>
      </w:r>
      <w:r w:rsidR="002B5BC3" w:rsidRPr="00A30DBD">
        <w:rPr>
          <w:b/>
          <w:bCs/>
          <w:sz w:val="24"/>
          <w:szCs w:val="24"/>
        </w:rPr>
        <w:tab/>
      </w:r>
      <w:r w:rsidR="002B5BC3" w:rsidRPr="00A30DBD">
        <w:rPr>
          <w:b/>
          <w:bCs/>
          <w:sz w:val="24"/>
          <w:szCs w:val="24"/>
        </w:rPr>
        <w:tab/>
      </w:r>
      <w:r w:rsidR="002B5BC3" w:rsidRPr="00A30DBD">
        <w:rPr>
          <w:b/>
          <w:bCs/>
          <w:sz w:val="24"/>
          <w:szCs w:val="24"/>
        </w:rPr>
        <w:tab/>
      </w:r>
      <w:r w:rsidR="002B5BC3" w:rsidRPr="00A30DBD">
        <w:rPr>
          <w:b/>
          <w:bCs/>
          <w:sz w:val="24"/>
          <w:szCs w:val="24"/>
        </w:rPr>
        <w:tab/>
      </w:r>
      <w:r w:rsidR="002B5BC3" w:rsidRPr="00A30DBD">
        <w:rPr>
          <w:b/>
          <w:bCs/>
          <w:sz w:val="24"/>
          <w:szCs w:val="24"/>
        </w:rPr>
        <w:tab/>
      </w:r>
      <w:r w:rsidR="00A30DBD" w:rsidRPr="00A30DBD">
        <w:rPr>
          <w:b/>
          <w:bCs/>
          <w:sz w:val="24"/>
          <w:szCs w:val="24"/>
        </w:rPr>
        <w:t>R1-2508857</w:t>
      </w:r>
      <w:r w:rsidR="00A30DBD" w:rsidRPr="00A30DBD">
        <w:rPr>
          <w:sz w:val="24"/>
          <w:szCs w:val="24"/>
        </w:rPr>
        <w:t xml:space="preserve"> </w:t>
      </w:r>
      <w:r w:rsidRPr="00A30DBD">
        <w:rPr>
          <w:b/>
          <w:bCs/>
          <w:sz w:val="24"/>
          <w:szCs w:val="24"/>
        </w:rPr>
        <w:t>Dallas, United States, November 17–21, 2025</w:t>
      </w:r>
      <w:r w:rsidRPr="00A30DBD">
        <w:rPr>
          <w:b/>
          <w:bCs/>
          <w:sz w:val="24"/>
          <w:szCs w:val="24"/>
        </w:rPr>
        <w:br/>
      </w:r>
    </w:p>
    <w:bookmarkEnd w:id="0"/>
    <w:p w14:paraId="19351D3C" w14:textId="11653651" w:rsidR="00F42A5D" w:rsidRPr="002B5BC3" w:rsidRDefault="00F42A5D" w:rsidP="00F42A5D">
      <w:pPr>
        <w:rPr>
          <w:b/>
          <w:bCs/>
        </w:rPr>
      </w:pPr>
      <w:r w:rsidRPr="002B5BC3">
        <w:rPr>
          <w:b/>
          <w:bCs/>
        </w:rPr>
        <w:t xml:space="preserve">Agenda Item: </w:t>
      </w:r>
      <w:r w:rsidR="002B5BC3" w:rsidRPr="002B5BC3">
        <w:rPr>
          <w:b/>
          <w:bCs/>
        </w:rPr>
        <w:tab/>
      </w:r>
      <w:r w:rsidR="002B5BC3">
        <w:rPr>
          <w:b/>
          <w:bCs/>
        </w:rPr>
        <w:tab/>
      </w:r>
      <w:r w:rsidRPr="002B5BC3">
        <w:rPr>
          <w:b/>
          <w:bCs/>
        </w:rPr>
        <w:t>11.3.</w:t>
      </w:r>
      <w:r w:rsidR="00ED4A67">
        <w:rPr>
          <w:b/>
          <w:bCs/>
        </w:rPr>
        <w:t>2</w:t>
      </w:r>
      <w:r w:rsidRPr="002B5BC3">
        <w:rPr>
          <w:b/>
          <w:bCs/>
        </w:rPr>
        <w:br/>
        <w:t xml:space="preserve">Source: </w:t>
      </w:r>
      <w:r w:rsidR="002B5BC3" w:rsidRPr="002B5BC3">
        <w:rPr>
          <w:b/>
          <w:bCs/>
        </w:rPr>
        <w:tab/>
      </w:r>
      <w:r w:rsidR="002B5BC3">
        <w:rPr>
          <w:b/>
          <w:bCs/>
        </w:rPr>
        <w:tab/>
      </w:r>
      <w:r w:rsidRPr="002B5BC3">
        <w:rPr>
          <w:b/>
          <w:bCs/>
        </w:rPr>
        <w:t>T-Mobile</w:t>
      </w:r>
      <w:r w:rsidR="00D831FB">
        <w:rPr>
          <w:b/>
          <w:bCs/>
        </w:rPr>
        <w:t xml:space="preserve"> USA, Nokia</w:t>
      </w:r>
      <w:r w:rsidR="00CF5F82">
        <w:rPr>
          <w:b/>
          <w:bCs/>
        </w:rPr>
        <w:t>, Ericsson</w:t>
      </w:r>
      <w:r w:rsidR="002B5BC3" w:rsidRPr="002B5BC3">
        <w:rPr>
          <w:b/>
          <w:bCs/>
        </w:rPr>
        <w:t xml:space="preserve"> </w:t>
      </w:r>
      <w:r w:rsidRPr="002B5BC3">
        <w:rPr>
          <w:b/>
          <w:bCs/>
        </w:rPr>
        <w:br/>
        <w:t xml:space="preserve">Title: </w:t>
      </w:r>
      <w:r w:rsidR="002B5BC3" w:rsidRPr="002B5BC3">
        <w:rPr>
          <w:b/>
          <w:bCs/>
        </w:rPr>
        <w:tab/>
      </w:r>
      <w:r w:rsidR="002B5BC3" w:rsidRPr="002B5BC3">
        <w:rPr>
          <w:b/>
          <w:bCs/>
        </w:rPr>
        <w:tab/>
      </w:r>
      <w:r w:rsidR="002B5BC3">
        <w:rPr>
          <w:b/>
          <w:bCs/>
        </w:rPr>
        <w:tab/>
      </w:r>
      <w:r w:rsidR="002B5BC3" w:rsidRPr="002B5BC3">
        <w:rPr>
          <w:b/>
          <w:bCs/>
        </w:rPr>
        <w:t>Frame Design to Support Efficient</w:t>
      </w:r>
      <w:r w:rsidRPr="002B5BC3">
        <w:rPr>
          <w:b/>
          <w:bCs/>
        </w:rPr>
        <w:t xml:space="preserve"> MRSS</w:t>
      </w:r>
      <w:r w:rsidRPr="002B5BC3">
        <w:rPr>
          <w:b/>
          <w:bCs/>
        </w:rPr>
        <w:br/>
        <w:t xml:space="preserve">Document for: </w:t>
      </w:r>
      <w:r w:rsidR="002B5BC3" w:rsidRPr="002B5BC3">
        <w:rPr>
          <w:b/>
          <w:bCs/>
        </w:rPr>
        <w:tab/>
      </w:r>
      <w:r w:rsidRPr="002B5BC3">
        <w:rPr>
          <w:b/>
          <w:bCs/>
        </w:rPr>
        <w:t>Discussion</w:t>
      </w:r>
    </w:p>
    <w:p w14:paraId="25AF49C9" w14:textId="77777777" w:rsidR="00F42A5D" w:rsidRPr="00F42A5D" w:rsidRDefault="00000000" w:rsidP="00F42A5D">
      <w:r>
        <w:pict w14:anchorId="2D8E2F38">
          <v:rect id="_x0000_i1025" style="width:0;height:1.5pt" o:hralign="center" o:hrstd="t" o:hr="t" fillcolor="#a0a0a0" stroked="f"/>
        </w:pict>
      </w:r>
    </w:p>
    <w:p w14:paraId="50AE6655" w14:textId="77777777" w:rsidR="00F42A5D" w:rsidRPr="00F42A5D" w:rsidRDefault="00F42A5D" w:rsidP="00F42A5D">
      <w:pPr>
        <w:rPr>
          <w:b/>
          <w:bCs/>
        </w:rPr>
      </w:pPr>
      <w:r w:rsidRPr="00F42A5D">
        <w:rPr>
          <w:b/>
          <w:bCs/>
        </w:rPr>
        <w:t>1. Introduction</w:t>
      </w:r>
    </w:p>
    <w:p w14:paraId="5C456148" w14:textId="229679A8" w:rsidR="008931A7" w:rsidRDefault="006F2E70" w:rsidP="008931A7">
      <w:r w:rsidRPr="00113378">
        <w:t>This contribution presents design principles for 6G numerologies, frame structures, and waveforms that maintain 5G compatibility while advancing performance for the next generation of cellular communications.</w:t>
      </w:r>
      <w:r>
        <w:t xml:space="preserve">  </w:t>
      </w:r>
      <w:r w:rsidR="00F42A5D" w:rsidRPr="00F42A5D">
        <w:t xml:space="preserve">Multi-RAT Spectrum Sharing (MRSS) is </w:t>
      </w:r>
      <w:r w:rsidR="00AB49DC">
        <w:t>essential</w:t>
      </w:r>
      <w:r w:rsidR="00F42A5D" w:rsidRPr="00F42A5D">
        <w:t xml:space="preserve"> to delivering smooth, efficient migration from 5G, </w:t>
      </w:r>
      <w:r w:rsidR="00346ABE">
        <w:t>allowing</w:t>
      </w:r>
      <w:r w:rsidR="00F42A5D" w:rsidRPr="00F42A5D">
        <w:t xml:space="preserve"> seamless coexistence between </w:t>
      </w:r>
      <w:r w:rsidR="00346ABE">
        <w:t>5G and 6G technologies</w:t>
      </w:r>
      <w:r w:rsidR="00F42A5D" w:rsidRPr="00F42A5D">
        <w:t xml:space="preserve">. </w:t>
      </w:r>
      <w:r w:rsidR="00113378">
        <w:t xml:space="preserve">6G </w:t>
      </w:r>
      <w:r w:rsidR="00F42A5D" w:rsidRPr="00113378">
        <w:t xml:space="preserve">MRSS </w:t>
      </w:r>
      <w:r w:rsidR="00113378">
        <w:t>should</w:t>
      </w:r>
      <w:r w:rsidR="00F42A5D" w:rsidRPr="00113378">
        <w:t xml:space="preserve"> minimize service disruption, maximize spectrum utilization, preserve backward compatibility, and enable hardware reuse</w:t>
      </w:r>
      <w:r w:rsidR="00113378">
        <w:t xml:space="preserve">.  </w:t>
      </w:r>
      <w:r w:rsidR="00CE27DB">
        <w:t xml:space="preserve">The focus of MRSS should be 5GNR-6GR.  </w:t>
      </w:r>
      <w:r w:rsidR="008931A7">
        <w:t>RAN1 #122bis made the following agreement related to 6G frame/slot structure:</w:t>
      </w:r>
    </w:p>
    <w:p w14:paraId="1A4EBE1A" w14:textId="77777777" w:rsidR="008931A7" w:rsidRDefault="008931A7" w:rsidP="008931A7">
      <w:pPr>
        <w:rPr>
          <w:rFonts w:eastAsiaTheme="minorEastAsia"/>
          <w:b/>
          <w:bCs/>
          <w:lang w:eastAsia="zh-CN"/>
        </w:rPr>
      </w:pPr>
    </w:p>
    <w:p w14:paraId="6CB1F0A7" w14:textId="32BD1155" w:rsidR="008931A7" w:rsidRDefault="008931A7" w:rsidP="008931A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RAN1#122bis Prague</w:t>
      </w:r>
    </w:p>
    <w:p w14:paraId="016A2D49" w14:textId="77777777" w:rsidR="008931A7" w:rsidRPr="004303AA" w:rsidRDefault="008931A7" w:rsidP="008931A7">
      <w:pPr>
        <w:rPr>
          <w:rFonts w:eastAsiaTheme="minorEastAsia"/>
          <w:szCs w:val="20"/>
          <w:highlight w:val="green"/>
          <w:lang w:eastAsia="zh-CN"/>
        </w:rPr>
      </w:pPr>
      <w:r w:rsidRPr="004303AA">
        <w:rPr>
          <w:rFonts w:eastAsiaTheme="minorEastAsia" w:hint="eastAsia"/>
          <w:szCs w:val="20"/>
          <w:highlight w:val="green"/>
          <w:lang w:eastAsia="zh-CN"/>
        </w:rPr>
        <w:t>Agreement</w:t>
      </w:r>
    </w:p>
    <w:p w14:paraId="6157EB4F" w14:textId="77777777" w:rsidR="008931A7" w:rsidRPr="00383A82" w:rsidRDefault="008931A7" w:rsidP="008931A7">
      <w:pPr>
        <w:rPr>
          <w:rFonts w:eastAsiaTheme="minorEastAsia"/>
          <w:lang w:eastAsia="zh-CN"/>
        </w:rPr>
      </w:pPr>
      <w:r w:rsidRPr="00383A82">
        <w:rPr>
          <w:rFonts w:eastAsiaTheme="minorEastAsia" w:hint="eastAsia"/>
          <w:lang w:eastAsia="zh-CN"/>
        </w:rPr>
        <w:t>For communication, 6GR considers NR</w:t>
      </w:r>
      <w:r w:rsidRPr="00383A82">
        <w:rPr>
          <w:rFonts w:eastAsiaTheme="minorEastAsia"/>
          <w:lang w:eastAsia="zh-CN"/>
        </w:rPr>
        <w:t xml:space="preserve"> frame structure used as a starting point </w:t>
      </w:r>
      <w:r w:rsidRPr="00383A82">
        <w:rPr>
          <w:rFonts w:eastAsiaTheme="minorEastAsia" w:hint="eastAsia"/>
          <w:lang w:eastAsia="zh-CN"/>
        </w:rPr>
        <w:t>for</w:t>
      </w:r>
      <w:r w:rsidRPr="00383A82">
        <w:rPr>
          <w:rFonts w:eastAsiaTheme="minorEastAsia"/>
          <w:lang w:eastAsia="zh-CN"/>
        </w:rPr>
        <w:t xml:space="preserve"> </w:t>
      </w:r>
      <w:r w:rsidRPr="00383A82">
        <w:rPr>
          <w:rFonts w:eastAsiaTheme="minorEastAsia" w:hint="eastAsia"/>
          <w:lang w:eastAsia="zh-CN"/>
        </w:rPr>
        <w:t>the study item,</w:t>
      </w:r>
    </w:p>
    <w:p w14:paraId="04EB32D6" w14:textId="77777777" w:rsidR="008931A7" w:rsidRPr="001C7BA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/>
          <w:lang w:eastAsia="zh-CN"/>
        </w:rPr>
        <w:t xml:space="preserve">Resource defined by one subcarrier and one symbol is called as resource element (RE). </w:t>
      </w:r>
    </w:p>
    <w:p w14:paraId="4E09E15B" w14:textId="77777777" w:rsidR="008931A7" w:rsidRPr="001C7BA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 w:hint="eastAsia"/>
          <w:lang w:eastAsia="zh-CN"/>
        </w:rPr>
        <w:t xml:space="preserve">Resource block (RB) is defined </w:t>
      </w:r>
      <w:r w:rsidRPr="001C7BA1">
        <w:rPr>
          <w:rFonts w:eastAsiaTheme="minorEastAsia"/>
          <w:lang w:eastAsia="zh-CN"/>
        </w:rPr>
        <w:t xml:space="preserve">where the number of </w:t>
      </w:r>
      <w:r w:rsidRPr="001C7BA1">
        <w:rPr>
          <w:rFonts w:eastAsiaTheme="minorEastAsia" w:hint="eastAsia"/>
          <w:lang w:eastAsia="zh-CN"/>
        </w:rPr>
        <w:t xml:space="preserve">consecutive </w:t>
      </w:r>
      <w:r w:rsidRPr="001C7BA1">
        <w:rPr>
          <w:rFonts w:eastAsiaTheme="minorEastAsia"/>
          <w:lang w:eastAsia="zh-CN"/>
        </w:rPr>
        <w:t>subcarriers per RB is the same for all numerologies</w:t>
      </w:r>
      <w:r w:rsidRPr="001C7BA1">
        <w:rPr>
          <w:rFonts w:eastAsiaTheme="minorEastAsia" w:hint="eastAsia"/>
          <w:lang w:eastAsia="zh-CN"/>
        </w:rPr>
        <w:t xml:space="preserve"> and</w:t>
      </w:r>
      <w:r w:rsidRPr="001C7BA1">
        <w:rPr>
          <w:rFonts w:eastAsiaTheme="minorEastAsia"/>
          <w:lang w:eastAsia="zh-CN"/>
        </w:rPr>
        <w:t xml:space="preserve"> the number of subcarriers per RB is 12</w:t>
      </w:r>
    </w:p>
    <w:p w14:paraId="6C1740F0" w14:textId="77777777" w:rsidR="008931A7" w:rsidRPr="001C7BA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 w:hint="eastAsia"/>
          <w:lang w:eastAsia="zh-CN"/>
        </w:rPr>
        <w:t>Radio Frame length is 10ms</w:t>
      </w:r>
    </w:p>
    <w:p w14:paraId="53233212" w14:textId="77777777" w:rsidR="008931A7" w:rsidRPr="001C7BA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 w:hint="eastAsia"/>
          <w:lang w:eastAsia="zh-CN"/>
        </w:rPr>
        <w:t>E</w:t>
      </w:r>
      <w:r w:rsidRPr="001C7BA1">
        <w:t xml:space="preserve">ach </w:t>
      </w:r>
      <w:r w:rsidRPr="001C7BA1">
        <w:rPr>
          <w:rFonts w:cstheme="minorHAnsi"/>
          <w:szCs w:val="21"/>
        </w:rPr>
        <w:t>radio frame</w:t>
      </w:r>
      <w:r w:rsidRPr="001C7BA1">
        <w:t xml:space="preserve"> is split into 10 subframes, each with a duration of 1 </w:t>
      </w:r>
      <w:proofErr w:type="spellStart"/>
      <w:r w:rsidRPr="001C7BA1">
        <w:t>ms</w:t>
      </w:r>
      <w:proofErr w:type="spellEnd"/>
    </w:p>
    <w:p w14:paraId="0844B230" w14:textId="77777777" w:rsidR="008931A7" w:rsidRPr="001C7BA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 w:hint="eastAsia"/>
          <w:lang w:eastAsia="zh-CN"/>
        </w:rPr>
        <w:t xml:space="preserve">For given SCS and for given symbol, the symbol duration, normal CP length and boundary </w:t>
      </w:r>
      <w:proofErr w:type="gramStart"/>
      <w:r w:rsidRPr="001C7BA1">
        <w:rPr>
          <w:rFonts w:eastAsiaTheme="minorEastAsia" w:hint="eastAsia"/>
          <w:lang w:eastAsia="zh-CN"/>
        </w:rPr>
        <w:t>is</w:t>
      </w:r>
      <w:proofErr w:type="gramEnd"/>
      <w:r w:rsidRPr="001C7BA1">
        <w:rPr>
          <w:rFonts w:eastAsiaTheme="minorEastAsia" w:hint="eastAsia"/>
          <w:lang w:eastAsia="zh-CN"/>
        </w:rPr>
        <w:t xml:space="preserve"> same as NR design.</w:t>
      </w:r>
    </w:p>
    <w:p w14:paraId="4E748027" w14:textId="77777777" w:rsidR="008931A7" w:rsidRPr="00800B61" w:rsidRDefault="008931A7" w:rsidP="008931A7">
      <w:pPr>
        <w:pStyle w:val="ListParagraph"/>
        <w:numPr>
          <w:ilvl w:val="1"/>
          <w:numId w:val="2"/>
        </w:numPr>
        <w:spacing w:after="160"/>
        <w:contextualSpacing w:val="0"/>
        <w:rPr>
          <w:rFonts w:eastAsiaTheme="minorEastAsia"/>
          <w:lang w:eastAsia="zh-CN"/>
        </w:rPr>
      </w:pPr>
      <w:r w:rsidRPr="001C7BA1">
        <w:rPr>
          <w:rFonts w:eastAsiaTheme="minorEastAsia" w:cstheme="minorHAnsi" w:hint="eastAsia"/>
          <w:szCs w:val="21"/>
          <w:lang w:eastAsia="zh-CN"/>
        </w:rPr>
        <w:t xml:space="preserve">A slot is defined as supporting </w:t>
      </w:r>
      <w:r w:rsidRPr="001C7BA1">
        <w:rPr>
          <w:rFonts w:cstheme="minorHAnsi"/>
          <w:szCs w:val="21"/>
        </w:rPr>
        <w:t xml:space="preserve">14 </w:t>
      </w:r>
      <w:r w:rsidRPr="001C7BA1">
        <w:rPr>
          <w:rFonts w:eastAsiaTheme="minorEastAsia" w:cstheme="minorHAnsi" w:hint="eastAsia"/>
          <w:szCs w:val="21"/>
          <w:lang w:eastAsia="zh-CN"/>
        </w:rPr>
        <w:t xml:space="preserve">consecutive </w:t>
      </w:r>
      <w:r w:rsidRPr="001C7BA1">
        <w:rPr>
          <w:rFonts w:cstheme="minorHAnsi"/>
          <w:szCs w:val="21"/>
        </w:rPr>
        <w:t>s</w:t>
      </w:r>
      <w:r w:rsidRPr="001C7BA1">
        <w:rPr>
          <w:rFonts w:eastAsiaTheme="minorEastAsia" w:cstheme="minorHAnsi"/>
          <w:szCs w:val="21"/>
          <w:lang w:eastAsia="zh-CN"/>
        </w:rPr>
        <w:t>ymbol</w:t>
      </w:r>
      <w:r w:rsidRPr="001C7BA1">
        <w:rPr>
          <w:rFonts w:eastAsiaTheme="minorEastAsia" w:cstheme="minorHAnsi" w:hint="eastAsia"/>
          <w:szCs w:val="21"/>
          <w:lang w:eastAsia="zh-CN"/>
        </w:rPr>
        <w:t>s</w:t>
      </w:r>
      <w:r w:rsidRPr="001C7BA1">
        <w:rPr>
          <w:rFonts w:eastAsiaTheme="minorEastAsia" w:cstheme="minorHAnsi"/>
          <w:szCs w:val="21"/>
          <w:lang w:eastAsia="zh-CN"/>
        </w:rPr>
        <w:t xml:space="preserve"> </w:t>
      </w:r>
      <w:r w:rsidRPr="001C7BA1">
        <w:rPr>
          <w:rFonts w:eastAsiaTheme="minorEastAsia" w:cstheme="minorHAnsi" w:hint="eastAsia"/>
          <w:szCs w:val="21"/>
          <w:lang w:eastAsia="zh-CN"/>
        </w:rPr>
        <w:t xml:space="preserve">for </w:t>
      </w:r>
      <w:r w:rsidRPr="001C7BA1">
        <w:rPr>
          <w:rFonts w:eastAsia="Malgun Gothic" w:cstheme="minorHAnsi" w:hint="eastAsia"/>
          <w:szCs w:val="21"/>
          <w:lang w:eastAsia="ko-KR"/>
        </w:rPr>
        <w:t>normal CP case and all subcarrier spacings</w:t>
      </w:r>
      <w:r w:rsidRPr="001C7BA1">
        <w:rPr>
          <w:rFonts w:eastAsiaTheme="minorEastAsia" w:cstheme="minorHAnsi" w:hint="eastAsia"/>
          <w:szCs w:val="21"/>
          <w:lang w:eastAsia="zh-CN"/>
        </w:rPr>
        <w:t>.</w:t>
      </w:r>
    </w:p>
    <w:p w14:paraId="3CA3313B" w14:textId="34FADFC3" w:rsidR="00F42A5D" w:rsidRPr="00F42A5D" w:rsidRDefault="00800B61" w:rsidP="00800B61">
      <w:pPr>
        <w:spacing w:after="160"/>
      </w:pPr>
      <w:r>
        <w:t xml:space="preserve">T-Mobile supports the RAN1 agreements made regarding frame structure &amp; numerology at RAN1 #122bis regarding the use of 5GNR frame/slot structures as baseline for the 6G study item and consider these agreements to be important for efficient MRSS.  </w:t>
      </w:r>
      <w:r w:rsidR="00000000">
        <w:pict w14:anchorId="42B634EF">
          <v:rect id="_x0000_i1026" style="width:0;height:1.5pt" o:hralign="center" o:hrstd="t" o:hr="t" fillcolor="#a0a0a0" stroked="f"/>
        </w:pict>
      </w:r>
    </w:p>
    <w:p w14:paraId="5BA46997" w14:textId="77777777" w:rsidR="00F42A5D" w:rsidRPr="00F42A5D" w:rsidRDefault="00F42A5D" w:rsidP="00F42A5D">
      <w:pPr>
        <w:rPr>
          <w:b/>
          <w:bCs/>
        </w:rPr>
      </w:pPr>
      <w:r w:rsidRPr="00F42A5D">
        <w:rPr>
          <w:b/>
          <w:bCs/>
        </w:rPr>
        <w:t>2. Multi-RAT Spectrum Sharing (MRSS) for 5G-6G Coexistence and Migration</w:t>
      </w:r>
    </w:p>
    <w:p w14:paraId="4D73B8CC" w14:textId="6C857D80" w:rsidR="00F42A5D" w:rsidRDefault="00F42A5D" w:rsidP="00F42A5D">
      <w:r w:rsidRPr="00A350A6">
        <w:t>Migrating from 5G to 6G introduces coexistence challenges</w:t>
      </w:r>
      <w:r w:rsidR="00A350A6" w:rsidRPr="00A350A6">
        <w:t xml:space="preserve"> that must be overcome to facilitate smooth migration while maintaining performance of both 5G and 6G systems</w:t>
      </w:r>
      <w:r w:rsidRPr="00A350A6">
        <w:t>. MRSS</w:t>
      </w:r>
      <w:r w:rsidRPr="00F42A5D">
        <w:t xml:space="preserve"> </w:t>
      </w:r>
      <w:r w:rsidR="00A350A6">
        <w:t>should allow</w:t>
      </w:r>
      <w:r w:rsidRPr="00F42A5D">
        <w:t xml:space="preserve"> dynamic sharing of spectral resources between 5G and 6G without rigid re-farming or network isolation. Supporting concurrent operations maximizes spectrum efficiency while minimizing interference and transition complexity.</w:t>
      </w:r>
      <w:r w:rsidR="00A350A6">
        <w:t xml:space="preserve">  </w:t>
      </w:r>
    </w:p>
    <w:p w14:paraId="2D0891FF" w14:textId="77777777" w:rsidR="00A350A6" w:rsidRPr="00F42A5D" w:rsidRDefault="00A350A6" w:rsidP="00F42A5D"/>
    <w:p w14:paraId="6B853602" w14:textId="75F8377C" w:rsidR="00F42A5D" w:rsidRDefault="00F42A5D" w:rsidP="00F42A5D">
      <w:r w:rsidRPr="00F42A5D">
        <w:t xml:space="preserve">MRSS </w:t>
      </w:r>
      <w:r w:rsidR="00CF43C2">
        <w:t>should allow network operators to</w:t>
      </w:r>
      <w:r w:rsidRPr="00F42A5D">
        <w:t xml:space="preserve"> dynamically allocate spectrum according to real-time traffic, service demands, and radio conditions. </w:t>
      </w:r>
      <w:r w:rsidRPr="005B7DB6">
        <w:t xml:space="preserve">This results in fine-grained partitioning across sub-bands, time slots, and waveform components, ensuring efficient </w:t>
      </w:r>
      <w:r w:rsidR="005B7DB6" w:rsidRPr="005B7DB6">
        <w:t xml:space="preserve">spectrum </w:t>
      </w:r>
      <w:r w:rsidRPr="005B7DB6">
        <w:t>utilization.</w:t>
      </w:r>
      <w:r w:rsidRPr="00F42A5D">
        <w:t xml:space="preserve"> Operators </w:t>
      </w:r>
      <w:r w:rsidR="005B7DB6">
        <w:lastRenderedPageBreak/>
        <w:t>need to be able to</w:t>
      </w:r>
      <w:r w:rsidRPr="00F42A5D">
        <w:t xml:space="preserve"> introduce 6G alongside 5G with no service disruption, achieving </w:t>
      </w:r>
      <w:r w:rsidR="006F2E70">
        <w:t xml:space="preserve">smooth </w:t>
      </w:r>
      <w:r w:rsidRPr="00F42A5D">
        <w:t>scalable migration.</w:t>
      </w:r>
    </w:p>
    <w:p w14:paraId="1AF6B546" w14:textId="77777777" w:rsidR="005B7DB6" w:rsidRPr="00F42A5D" w:rsidRDefault="005B7DB6" w:rsidP="00F42A5D"/>
    <w:p w14:paraId="7075EB00" w14:textId="4C6C5DFA" w:rsidR="00F42A5D" w:rsidRPr="00F42A5D" w:rsidRDefault="00F42A5D" w:rsidP="00F42A5D">
      <w:r w:rsidRPr="00F42A5D">
        <w:t>MRSS further enables adaptive spectrum farming, progressively reallocating underutilized 5G spectrum for emerging 6G needs through ongoing traffic monitoring and mapping. MRSS delivers a flexible, backward-compatible, and evolution-friendly framework for harmonized 5G–6G spectrum sharing</w:t>
      </w:r>
      <w:r w:rsidR="00CF43C2">
        <w:t xml:space="preserve"> that is </w:t>
      </w:r>
      <w:r w:rsidRPr="00F42A5D">
        <w:t xml:space="preserve">essential for seamless coexistence and </w:t>
      </w:r>
      <w:r w:rsidR="00CF43C2">
        <w:t xml:space="preserve">smooth </w:t>
      </w:r>
      <w:r w:rsidRPr="00F42A5D">
        <w:t>phased migration.</w:t>
      </w:r>
    </w:p>
    <w:p w14:paraId="76C55E00" w14:textId="77777777" w:rsidR="00F42A5D" w:rsidRPr="00F42A5D" w:rsidRDefault="00000000" w:rsidP="00F42A5D">
      <w:r>
        <w:pict w14:anchorId="63199A80">
          <v:rect id="_x0000_i1027" style="width:0;height:1.5pt" o:hralign="center" o:hrstd="t" o:hr="t" fillcolor="#a0a0a0" stroked="f"/>
        </w:pict>
      </w:r>
    </w:p>
    <w:p w14:paraId="7BC8FE21" w14:textId="77777777" w:rsidR="00F42A5D" w:rsidRPr="00F42A5D" w:rsidRDefault="00F42A5D" w:rsidP="00F42A5D">
      <w:pPr>
        <w:rPr>
          <w:b/>
          <w:bCs/>
        </w:rPr>
      </w:pPr>
      <w:r w:rsidRPr="00F42A5D">
        <w:rPr>
          <w:b/>
          <w:bCs/>
        </w:rPr>
        <w:t>3. Backward Compatibility of 6G Frame Structures for MRSS</w:t>
      </w:r>
    </w:p>
    <w:p w14:paraId="68CA387D" w14:textId="2F68A25D" w:rsidR="00F42A5D" w:rsidRPr="0077122B" w:rsidRDefault="00F42A5D" w:rsidP="00F42A5D">
      <w:pPr>
        <w:rPr>
          <w:highlight w:val="yellow"/>
        </w:rPr>
      </w:pPr>
      <w:r w:rsidRPr="00CE650F">
        <w:t>Time-Domain Compatibility</w:t>
      </w:r>
      <w:r w:rsidR="00CE650F" w:rsidRPr="00CE650F">
        <w:t xml:space="preserve"> -</w:t>
      </w:r>
      <w:r w:rsidRPr="00CE650F">
        <w:t xml:space="preserve"> Backward compatibility in the time domain </w:t>
      </w:r>
      <w:r w:rsidR="00C0464B">
        <w:t>focuses</w:t>
      </w:r>
      <w:r w:rsidRPr="00CE650F">
        <w:t xml:space="preserve"> on aligning the frame, slot, and symbol boundaries of 6G with those in 5G NR. Maintaining parameters like frame (10 </w:t>
      </w:r>
      <w:proofErr w:type="spellStart"/>
      <w:r w:rsidRPr="00CE650F">
        <w:t>ms</w:t>
      </w:r>
      <w:proofErr w:type="spellEnd"/>
      <w:r w:rsidRPr="00CE650F">
        <w:t xml:space="preserve">), slot (1 </w:t>
      </w:r>
      <w:proofErr w:type="spellStart"/>
      <w:r w:rsidRPr="00CE650F">
        <w:t>ms</w:t>
      </w:r>
      <w:proofErr w:type="spellEnd"/>
      <w:r w:rsidRPr="00CE650F">
        <w:t xml:space="preserve">), and OFDM symbol (66.67 </w:t>
      </w:r>
      <w:proofErr w:type="spellStart"/>
      <w:r w:rsidRPr="00CE650F">
        <w:t>μs</w:t>
      </w:r>
      <w:proofErr w:type="spellEnd"/>
      <w:r w:rsidRPr="00CE650F">
        <w:t xml:space="preserve"> at 15 kHz SCS) durations </w:t>
      </w:r>
      <w:proofErr w:type="gramStart"/>
      <w:r w:rsidRPr="00CE650F">
        <w:t>facilitates</w:t>
      </w:r>
      <w:proofErr w:type="gramEnd"/>
      <w:r w:rsidRPr="00CE650F">
        <w:t xml:space="preserve"> synchronous scheduling and resource coordination. Hybrid operation can serve both 5G and 6G users without substantial legacy timing system changes.</w:t>
      </w:r>
    </w:p>
    <w:p w14:paraId="185A1691" w14:textId="77777777" w:rsidR="00CE650F" w:rsidRDefault="00CE650F" w:rsidP="00F42A5D">
      <w:pPr>
        <w:rPr>
          <w:highlight w:val="yellow"/>
        </w:rPr>
      </w:pPr>
    </w:p>
    <w:p w14:paraId="30E60108" w14:textId="5BEB4EFC" w:rsidR="00F42A5D" w:rsidRPr="00CE650F" w:rsidRDefault="00F42A5D" w:rsidP="00F42A5D">
      <w:r w:rsidRPr="00CE650F">
        <w:t xml:space="preserve">Frequency-Domain Compatibility </w:t>
      </w:r>
      <w:r w:rsidR="00CE650F" w:rsidRPr="00CE650F">
        <w:t xml:space="preserve">- </w:t>
      </w:r>
      <w:r w:rsidRPr="00CE650F">
        <w:t xml:space="preserve">6G should reuse or extend 5G NR numerologies (e.g., 15, 30, 60 kHz) and </w:t>
      </w:r>
      <w:r w:rsidR="00AB49DC">
        <w:t>enable</w:t>
      </w:r>
      <w:r w:rsidRPr="00CE650F">
        <w:t xml:space="preserve"> compatible resource block structures. Efficient bandwidth partitioning and reduced guard bands minimize spectral leakage and inter-RAT interference, enabling adjacent/intra-carrier operation with minimal performance impact</w:t>
      </w:r>
      <w:r w:rsidR="00AB49DC">
        <w:t xml:space="preserve"> and maximize</w:t>
      </w:r>
      <w:r w:rsidR="008931A7">
        <w:t>s</w:t>
      </w:r>
      <w:r w:rsidR="00AB49DC">
        <w:t xml:space="preserve"> spectral efficiency</w:t>
      </w:r>
      <w:r w:rsidRPr="00CE650F">
        <w:t>.</w:t>
      </w:r>
    </w:p>
    <w:p w14:paraId="1DF4E44A" w14:textId="77777777" w:rsidR="00CE650F" w:rsidRPr="00CE650F" w:rsidRDefault="00CE650F" w:rsidP="00F42A5D"/>
    <w:p w14:paraId="02C25FC9" w14:textId="01C5DE6D" w:rsidR="00F42A5D" w:rsidRDefault="00F42A5D" w:rsidP="00F42A5D">
      <w:r w:rsidRPr="00CE650F">
        <w:t xml:space="preserve">Flexible Spectrum Coexistence </w:t>
      </w:r>
      <w:r w:rsidR="00CE650F" w:rsidRPr="00CE650F">
        <w:t xml:space="preserve">- </w:t>
      </w:r>
      <w:r w:rsidRPr="00CE650F">
        <w:t>A compatible time-frequency grid supports joint scheduling, waveform coexistence, and coordinated MAC/PHY management. This accelerates 6G migration within existing bands and enables dynamic spectrum sharing, protecting prior investments and advancing efficient spectrum farming.</w:t>
      </w:r>
      <w:r w:rsidR="00A800D9">
        <w:t xml:space="preserve">  Overhead from MRSS can be </w:t>
      </w:r>
      <w:r w:rsidR="00A800D9" w:rsidRPr="0052269E">
        <w:t xml:space="preserve">reduced by </w:t>
      </w:r>
      <w:r w:rsidR="004E0F13" w:rsidRPr="0052269E">
        <w:t>overlapping</w:t>
      </w:r>
      <w:r w:rsidR="00DE17ED" w:rsidRPr="0052269E">
        <w:t xml:space="preserve"> </w:t>
      </w:r>
      <w:r w:rsidR="004E0F13" w:rsidRPr="0052269E">
        <w:t>with</w:t>
      </w:r>
      <w:r w:rsidR="00F75B73" w:rsidRPr="0052269E">
        <w:t xml:space="preserve"> the footprint </w:t>
      </w:r>
      <w:r w:rsidR="00A800D9">
        <w:t>of 5GNR control signals</w:t>
      </w:r>
      <w:r w:rsidR="00273D47">
        <w:t xml:space="preserve"> where practical</w:t>
      </w:r>
      <w:r w:rsidR="00A800D9">
        <w:t>, increasing MRSS efficiency.</w:t>
      </w:r>
    </w:p>
    <w:p w14:paraId="1572D4B1" w14:textId="77777777" w:rsidR="00873BDE" w:rsidRDefault="00873BDE" w:rsidP="00F42A5D"/>
    <w:p w14:paraId="75E14742" w14:textId="77777777" w:rsidR="00F42A5D" w:rsidRPr="00F42A5D" w:rsidRDefault="00000000" w:rsidP="00F42A5D">
      <w:r>
        <w:pict w14:anchorId="55846D13">
          <v:rect id="_x0000_i1028" style="width:0;height:1.5pt" o:hralign="center" o:hrstd="t" o:hr="t" fillcolor="#a0a0a0" stroked="f"/>
        </w:pict>
      </w:r>
    </w:p>
    <w:p w14:paraId="16376CE9" w14:textId="6CC7EFF0" w:rsidR="009422A5" w:rsidRDefault="009422A5" w:rsidP="009422A5">
      <w:r w:rsidRPr="00F42A5D">
        <w:rPr>
          <w:b/>
          <w:bCs/>
        </w:rPr>
        <w:t>Proposal 1</w:t>
      </w:r>
      <w:r w:rsidRPr="00F42A5D">
        <w:br/>
        <w:t>RAN1 shall study the design of 6G numerologies and time-frequency frame/slot structures for MRSS</w:t>
      </w:r>
      <w:r>
        <w:t xml:space="preserve"> that support</w:t>
      </w:r>
      <w:r w:rsidRPr="00F42A5D">
        <w:t xml:space="preserve"> smooth coexistence and efficient spectrum sharing with 5G</w:t>
      </w:r>
      <w:r>
        <w:t xml:space="preserve">, using </w:t>
      </w:r>
      <w:r w:rsidR="00854712">
        <w:t xml:space="preserve">the </w:t>
      </w:r>
      <w:r>
        <w:t>5GNR frame structure as baseline</w:t>
      </w:r>
      <w:r w:rsidRPr="00F42A5D">
        <w:t>.</w:t>
      </w:r>
    </w:p>
    <w:p w14:paraId="5242418F" w14:textId="3725E9B5" w:rsidR="0068518C" w:rsidRPr="0068518C" w:rsidRDefault="0068518C" w:rsidP="009422A5">
      <w:pPr>
        <w:rPr>
          <w:b/>
          <w:bCs/>
        </w:rPr>
      </w:pPr>
      <w:r w:rsidRPr="0068518C">
        <w:rPr>
          <w:b/>
          <w:bCs/>
        </w:rPr>
        <w:t>Proposal 2</w:t>
      </w:r>
    </w:p>
    <w:p w14:paraId="065FB64D" w14:textId="34123527" w:rsidR="0068518C" w:rsidRDefault="0068518C" w:rsidP="009422A5">
      <w:r>
        <w:t>Any proposals to deviate from the 5GNR baseline must show evidence of significant performance increase to justify the proposed structure.</w:t>
      </w:r>
    </w:p>
    <w:p w14:paraId="1773E6BB" w14:textId="3C4BBCC7" w:rsidR="00CE27DB" w:rsidRPr="00A30DBD" w:rsidRDefault="00CE27DB" w:rsidP="009422A5">
      <w:pPr>
        <w:rPr>
          <w:b/>
          <w:bCs/>
        </w:rPr>
      </w:pPr>
      <w:r w:rsidRPr="00A30DBD">
        <w:rPr>
          <w:b/>
          <w:bCs/>
        </w:rPr>
        <w:t>Proposal 3</w:t>
      </w:r>
    </w:p>
    <w:p w14:paraId="65A03D42" w14:textId="1EF2BE83" w:rsidR="00CE27DB" w:rsidRDefault="00CE27DB" w:rsidP="009422A5">
      <w:r>
        <w:t>The focus of 6G MRSS should be on 5GNR-6GR.</w:t>
      </w:r>
    </w:p>
    <w:p w14:paraId="75F09D60" w14:textId="69F1FBC0" w:rsidR="00A800D9" w:rsidRPr="00A30DBD" w:rsidRDefault="00A800D9" w:rsidP="009422A5">
      <w:pPr>
        <w:rPr>
          <w:b/>
          <w:bCs/>
        </w:rPr>
      </w:pPr>
      <w:r w:rsidRPr="00A30DBD">
        <w:rPr>
          <w:b/>
          <w:bCs/>
        </w:rPr>
        <w:t>Proposal 4</w:t>
      </w:r>
    </w:p>
    <w:p w14:paraId="2D66D29C" w14:textId="618362EF" w:rsidR="00A800D9" w:rsidRPr="00F42A5D" w:rsidRDefault="00A800D9" w:rsidP="009422A5">
      <w:r>
        <w:t xml:space="preserve">Minimize MRSS overhead by </w:t>
      </w:r>
      <w:r w:rsidR="004E0F13">
        <w:t xml:space="preserve">overlapping with </w:t>
      </w:r>
      <w:r w:rsidR="00F75B73">
        <w:t xml:space="preserve">the footprint </w:t>
      </w:r>
      <w:r>
        <w:t>of 5GNR control signals</w:t>
      </w:r>
      <w:r w:rsidR="0003368C">
        <w:t xml:space="preserve"> where practical</w:t>
      </w:r>
      <w:r>
        <w:t>.</w:t>
      </w:r>
    </w:p>
    <w:p w14:paraId="2C5DF071" w14:textId="6759F398" w:rsidR="00F42A5D" w:rsidRPr="00F42A5D" w:rsidRDefault="00000000" w:rsidP="009422A5">
      <w:r>
        <w:pict w14:anchorId="6F0B0E7B">
          <v:rect id="_x0000_i1029" style="width:0;height:1.5pt" o:hralign="center" o:hrstd="t" o:hr="t" fillcolor="#a0a0a0" stroked="f"/>
        </w:pict>
      </w:r>
    </w:p>
    <w:p w14:paraId="3771E6C2" w14:textId="0BF2BE0B" w:rsidR="00F42A5D" w:rsidRPr="00F42A5D" w:rsidRDefault="006F2E70" w:rsidP="00F42A5D">
      <w:pPr>
        <w:rPr>
          <w:b/>
          <w:bCs/>
        </w:rPr>
      </w:pPr>
      <w:r>
        <w:rPr>
          <w:b/>
          <w:bCs/>
        </w:rPr>
        <w:t>4</w:t>
      </w:r>
      <w:r w:rsidR="00F42A5D" w:rsidRPr="00F42A5D">
        <w:rPr>
          <w:b/>
          <w:bCs/>
        </w:rPr>
        <w:t>. Conclusion</w:t>
      </w:r>
    </w:p>
    <w:p w14:paraId="27AE7898" w14:textId="77777777" w:rsidR="00F42A5D" w:rsidRDefault="00F42A5D" w:rsidP="00F42A5D">
      <w:r w:rsidRPr="00F42A5D">
        <w:t>The following proposals are presented for RAN1’s consideration:</w:t>
      </w:r>
    </w:p>
    <w:p w14:paraId="3E04684E" w14:textId="77777777" w:rsidR="002B5BC3" w:rsidRDefault="002B5BC3" w:rsidP="002B5BC3">
      <w:r w:rsidRPr="00F42A5D">
        <w:rPr>
          <w:b/>
          <w:bCs/>
        </w:rPr>
        <w:t>Proposal 1</w:t>
      </w:r>
      <w:r w:rsidRPr="00F42A5D">
        <w:br/>
        <w:t>RAN1 shall study the design of 6G numerologies and time-frequency frame/slot structures for MRSS</w:t>
      </w:r>
      <w:r>
        <w:t xml:space="preserve"> that support</w:t>
      </w:r>
      <w:r w:rsidRPr="00F42A5D">
        <w:t xml:space="preserve"> smooth coexistence and efficient spectrum sharing with 5G</w:t>
      </w:r>
      <w:r>
        <w:t>, using the 5GNR frame structure as baseline</w:t>
      </w:r>
      <w:r w:rsidRPr="00F42A5D">
        <w:t>.</w:t>
      </w:r>
    </w:p>
    <w:p w14:paraId="4F34A870" w14:textId="77777777" w:rsidR="0068518C" w:rsidRPr="0068518C" w:rsidRDefault="0068518C" w:rsidP="0068518C">
      <w:pPr>
        <w:rPr>
          <w:b/>
          <w:bCs/>
        </w:rPr>
      </w:pPr>
      <w:r w:rsidRPr="0068518C">
        <w:rPr>
          <w:b/>
          <w:bCs/>
        </w:rPr>
        <w:t>Proposal 2</w:t>
      </w:r>
    </w:p>
    <w:p w14:paraId="322EB1F2" w14:textId="77777777" w:rsidR="0068518C" w:rsidRDefault="0068518C" w:rsidP="0068518C">
      <w:r>
        <w:lastRenderedPageBreak/>
        <w:t>Any proposals to deviate from the 5GNR baseline must show evidence of significant performance increase to justify the proposed structure.</w:t>
      </w:r>
    </w:p>
    <w:p w14:paraId="54B8F7EF" w14:textId="77777777" w:rsidR="00CE27DB" w:rsidRPr="00406CAA" w:rsidRDefault="00CE27DB" w:rsidP="00CE27DB">
      <w:pPr>
        <w:rPr>
          <w:b/>
          <w:bCs/>
        </w:rPr>
      </w:pPr>
      <w:r w:rsidRPr="00406CAA">
        <w:rPr>
          <w:b/>
          <w:bCs/>
        </w:rPr>
        <w:t>Proposal 3</w:t>
      </w:r>
    </w:p>
    <w:p w14:paraId="570C6AAF" w14:textId="08775646" w:rsidR="00CE27DB" w:rsidRPr="00F42A5D" w:rsidRDefault="00CE27DB" w:rsidP="00CE27DB">
      <w:r>
        <w:t>The focus of 6G MRSS should be on 5GNR-6GR.</w:t>
      </w:r>
    </w:p>
    <w:p w14:paraId="59580DAF" w14:textId="77777777" w:rsidR="00A800D9" w:rsidRPr="00406CAA" w:rsidRDefault="00A800D9" w:rsidP="00A800D9">
      <w:pPr>
        <w:rPr>
          <w:b/>
          <w:bCs/>
        </w:rPr>
      </w:pPr>
      <w:r w:rsidRPr="00406CAA">
        <w:rPr>
          <w:b/>
          <w:bCs/>
        </w:rPr>
        <w:t>Proposal 4</w:t>
      </w:r>
    </w:p>
    <w:p w14:paraId="2211C778" w14:textId="65358109" w:rsidR="00A800D9" w:rsidRPr="00F42A5D" w:rsidRDefault="00A800D9" w:rsidP="00A800D9">
      <w:r>
        <w:t xml:space="preserve">Minimize MRSS overhead by </w:t>
      </w:r>
      <w:r w:rsidR="004E0F13">
        <w:t xml:space="preserve">overlapping with the footprint </w:t>
      </w:r>
      <w:r>
        <w:t>of 5GNR control signals</w:t>
      </w:r>
      <w:r w:rsidR="00273D47">
        <w:t xml:space="preserve"> where practical</w:t>
      </w:r>
      <w:r>
        <w:t>.</w:t>
      </w:r>
    </w:p>
    <w:p w14:paraId="7AD8C730" w14:textId="77777777" w:rsidR="00CE27DB" w:rsidRPr="00F42A5D" w:rsidRDefault="00CE27DB" w:rsidP="0068518C"/>
    <w:p w14:paraId="6D47BA01" w14:textId="77777777" w:rsidR="00F42A5D" w:rsidRPr="00F42A5D" w:rsidRDefault="00000000" w:rsidP="00F42A5D">
      <w:r>
        <w:pict w14:anchorId="40BC2834">
          <v:rect id="_x0000_i1030" style="width:0;height:1.5pt" o:hralign="center" o:hrstd="t" o:hr="t" fillcolor="#a0a0a0" stroked="f"/>
        </w:pict>
      </w:r>
    </w:p>
    <w:p w14:paraId="73B7A9A7" w14:textId="77777777" w:rsidR="00F42A5D" w:rsidRPr="00F42A5D" w:rsidRDefault="00F42A5D" w:rsidP="00F42A5D">
      <w:pPr>
        <w:rPr>
          <w:b/>
          <w:bCs/>
        </w:rPr>
      </w:pPr>
      <w:r w:rsidRPr="00F42A5D">
        <w:rPr>
          <w:b/>
          <w:bCs/>
        </w:rPr>
        <w:t>References</w:t>
      </w:r>
    </w:p>
    <w:p w14:paraId="67F45E15" w14:textId="4DA09B7E" w:rsidR="00F42A5D" w:rsidRPr="004E70DB" w:rsidRDefault="00C250CA" w:rsidP="00C250CA">
      <w:pPr>
        <w:numPr>
          <w:ilvl w:val="0"/>
          <w:numId w:val="1"/>
        </w:numPr>
        <w:rPr>
          <w:u w:val="single"/>
        </w:rPr>
      </w:pPr>
      <w:hyperlink r:id="rId5" w:history="1">
        <w:r w:rsidRPr="004E70DB">
          <w:rPr>
            <w:rStyle w:val="Hyperlink"/>
          </w:rPr>
          <w:t>R1-2505865</w:t>
        </w:r>
      </w:hyperlink>
      <w:r w:rsidRPr="004E70DB">
        <w:t xml:space="preserve">, </w:t>
      </w:r>
      <w:r w:rsidR="00F42A5D" w:rsidRPr="004E70DB">
        <w:t>“</w:t>
      </w:r>
      <w:r w:rsidRPr="004E70DB">
        <w:t>6G Radio Access Needs Overview</w:t>
      </w:r>
      <w:r w:rsidR="00F42A5D" w:rsidRPr="004E70DB">
        <w:t xml:space="preserve">,” </w:t>
      </w:r>
      <w:r w:rsidRPr="004E70DB">
        <w:rPr>
          <w:bCs/>
        </w:rPr>
        <w:t xml:space="preserve">3GPP RAN1 #122, </w:t>
      </w:r>
      <w:r w:rsidRPr="004E70DB">
        <w:rPr>
          <w:rFonts w:eastAsia="Batang" w:cs="Arial"/>
          <w:color w:val="000000"/>
        </w:rPr>
        <w:t>Bengaluru, India 25-29 August 2025</w:t>
      </w:r>
    </w:p>
    <w:p w14:paraId="63EABE33" w14:textId="17173D05" w:rsidR="004E70DB" w:rsidRPr="00800B61" w:rsidRDefault="00800B61" w:rsidP="00495989">
      <w:pPr>
        <w:numPr>
          <w:ilvl w:val="0"/>
          <w:numId w:val="1"/>
        </w:numPr>
        <w:rPr>
          <w:u w:val="single"/>
        </w:rPr>
      </w:pPr>
      <w:hyperlink r:id="rId6" w:history="1">
        <w:r w:rsidRPr="00800B61">
          <w:rPr>
            <w:rStyle w:val="Hyperlink"/>
          </w:rPr>
          <w:t>R1-2508138</w:t>
        </w:r>
      </w:hyperlink>
      <w:r w:rsidR="004E70DB" w:rsidRPr="004E70DB">
        <w:t>, “</w:t>
      </w:r>
      <w:r w:rsidRPr="00800B61">
        <w:t>FL summary for Frame Structure (round 5)</w:t>
      </w:r>
      <w:r w:rsidR="004E70DB" w:rsidRPr="004E70DB">
        <w:t xml:space="preserve">”, 3GPP RAN1 #122bis, </w:t>
      </w:r>
      <w:r w:rsidR="004E70DB" w:rsidRPr="00800B61">
        <w:rPr>
          <w:rFonts w:cs="Arial"/>
          <w:bCs/>
        </w:rPr>
        <w:t>Prague, Czech, Oct 13th – 17th, 2025</w:t>
      </w:r>
    </w:p>
    <w:p w14:paraId="24CA338E" w14:textId="2C831098" w:rsidR="00F42A5D" w:rsidRPr="004E70DB" w:rsidRDefault="002B5BC3" w:rsidP="002B5BC3">
      <w:pPr>
        <w:numPr>
          <w:ilvl w:val="0"/>
          <w:numId w:val="1"/>
        </w:numPr>
        <w:rPr>
          <w:u w:val="single"/>
        </w:rPr>
      </w:pPr>
      <w:hyperlink r:id="rId7" w:history="1">
        <w:r w:rsidRPr="004E70DB">
          <w:rPr>
            <w:rStyle w:val="Hyperlink"/>
          </w:rPr>
          <w:t>RP-250771</w:t>
        </w:r>
      </w:hyperlink>
      <w:r w:rsidR="00F42A5D" w:rsidRPr="004E70DB">
        <w:t>, “</w:t>
      </w:r>
      <w:r w:rsidRPr="004E70DB">
        <w:t>6G Standardization – Principles</w:t>
      </w:r>
      <w:r w:rsidR="00F42A5D" w:rsidRPr="004E70DB">
        <w:t>,” 3GPP TSG-RAN Meeting #10</w:t>
      </w:r>
      <w:r w:rsidRPr="004E70DB">
        <w:t>7</w:t>
      </w:r>
      <w:r w:rsidR="00F42A5D" w:rsidRPr="004E70DB">
        <w:t xml:space="preserve">, </w:t>
      </w:r>
      <w:r w:rsidRPr="004E70DB">
        <w:rPr>
          <w:rFonts w:eastAsia="Batang" w:cs="Arial"/>
          <w:color w:val="000000"/>
        </w:rPr>
        <w:t>Incheon, Korea, March 12-14, 2025</w:t>
      </w:r>
    </w:p>
    <w:p w14:paraId="7C28A5F3" w14:textId="77777777" w:rsidR="00F42A5D" w:rsidRPr="00F42A5D" w:rsidRDefault="00000000" w:rsidP="00F42A5D">
      <w:r>
        <w:pict w14:anchorId="0D5F39B2">
          <v:rect id="_x0000_i1031" style="width:0;height:1.5pt" o:hralign="center" o:hrstd="t" o:hr="t" fillcolor="#a0a0a0" stroked="f"/>
        </w:pict>
      </w:r>
    </w:p>
    <w:sectPr w:rsidR="00F42A5D" w:rsidRPr="00F42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223CD"/>
    <w:multiLevelType w:val="multilevel"/>
    <w:tmpl w:val="40F8D2DC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4C425BD"/>
    <w:multiLevelType w:val="multilevel"/>
    <w:tmpl w:val="0A96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7174297">
    <w:abstractNumId w:val="1"/>
  </w:num>
  <w:num w:numId="2" w16cid:durableId="920715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5D"/>
    <w:rsid w:val="000236FE"/>
    <w:rsid w:val="0003368C"/>
    <w:rsid w:val="00113378"/>
    <w:rsid w:val="001544CD"/>
    <w:rsid w:val="001E316F"/>
    <w:rsid w:val="00273D47"/>
    <w:rsid w:val="002B5BC3"/>
    <w:rsid w:val="003457E9"/>
    <w:rsid w:val="00346ABE"/>
    <w:rsid w:val="00387A90"/>
    <w:rsid w:val="003C7C33"/>
    <w:rsid w:val="00402CE9"/>
    <w:rsid w:val="004560CE"/>
    <w:rsid w:val="004A3811"/>
    <w:rsid w:val="004E0F13"/>
    <w:rsid w:val="004E70DB"/>
    <w:rsid w:val="0052269E"/>
    <w:rsid w:val="005B7DB6"/>
    <w:rsid w:val="005D62E3"/>
    <w:rsid w:val="005D697F"/>
    <w:rsid w:val="00667777"/>
    <w:rsid w:val="0068518C"/>
    <w:rsid w:val="006E712D"/>
    <w:rsid w:val="006F2E70"/>
    <w:rsid w:val="0077122B"/>
    <w:rsid w:val="00792949"/>
    <w:rsid w:val="007C262D"/>
    <w:rsid w:val="007C4A7D"/>
    <w:rsid w:val="007E0292"/>
    <w:rsid w:val="00800B61"/>
    <w:rsid w:val="008071B9"/>
    <w:rsid w:val="00843E68"/>
    <w:rsid w:val="00852617"/>
    <w:rsid w:val="00854712"/>
    <w:rsid w:val="00873BDE"/>
    <w:rsid w:val="008931A7"/>
    <w:rsid w:val="008F3716"/>
    <w:rsid w:val="00917505"/>
    <w:rsid w:val="009422A5"/>
    <w:rsid w:val="00965B3A"/>
    <w:rsid w:val="00A30DBD"/>
    <w:rsid w:val="00A350A6"/>
    <w:rsid w:val="00A800D9"/>
    <w:rsid w:val="00A93924"/>
    <w:rsid w:val="00AA2BC9"/>
    <w:rsid w:val="00AB49DC"/>
    <w:rsid w:val="00AC0407"/>
    <w:rsid w:val="00B23CD6"/>
    <w:rsid w:val="00B65C5A"/>
    <w:rsid w:val="00B853A5"/>
    <w:rsid w:val="00BB491F"/>
    <w:rsid w:val="00C0464B"/>
    <w:rsid w:val="00C250CA"/>
    <w:rsid w:val="00C60CF9"/>
    <w:rsid w:val="00CE27DB"/>
    <w:rsid w:val="00CE650F"/>
    <w:rsid w:val="00CF43C2"/>
    <w:rsid w:val="00CF5F82"/>
    <w:rsid w:val="00D53478"/>
    <w:rsid w:val="00D831FB"/>
    <w:rsid w:val="00DE17ED"/>
    <w:rsid w:val="00E00F28"/>
    <w:rsid w:val="00E80D29"/>
    <w:rsid w:val="00E93992"/>
    <w:rsid w:val="00ED4A67"/>
    <w:rsid w:val="00F059A6"/>
    <w:rsid w:val="00F13C12"/>
    <w:rsid w:val="00F42A5D"/>
    <w:rsid w:val="00F75B73"/>
    <w:rsid w:val="00FC4267"/>
    <w:rsid w:val="00FD5441"/>
    <w:rsid w:val="00FE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CF85D"/>
  <w15:chartTrackingRefBased/>
  <w15:docId w15:val="{EA0047F1-D01A-4CE7-BD55-C78BC50D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2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2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2A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2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2A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2A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2A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2A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2A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2A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2A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2A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2A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2A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2A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2A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2A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2A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2A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2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2A5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2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2A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2A5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F42A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2A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2A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A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2A5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873BDE"/>
  </w:style>
  <w:style w:type="character" w:styleId="Hyperlink">
    <w:name w:val="Hyperlink"/>
    <w:basedOn w:val="DefaultParagraphFont"/>
    <w:uiPriority w:val="99"/>
    <w:unhideWhenUsed/>
    <w:rsid w:val="00C250C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50C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25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E2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107/Docs/RP-2507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ran/WG1_RL1/TSGR1_122b/Docs/R1-2508138.zip" TargetMode="External"/><Relationship Id="rId5" Type="http://schemas.openxmlformats.org/officeDocument/2006/relationships/hyperlink" Target="https://www.3gpp.org/ftp/tsg_ran/WG1_RL1/TSGR1_122/Docs/R1-2505865.zi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5229</Characters>
  <Application>Microsoft Office Word</Application>
  <DocSecurity>0</DocSecurity>
  <Lines>113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TMobile USA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T-Mobile USA</dc:creator>
  <cp:keywords/>
  <dc:description/>
  <cp:lastModifiedBy>T-Mobile USA</cp:lastModifiedBy>
  <cp:revision>2</cp:revision>
  <dcterms:created xsi:type="dcterms:W3CDTF">2025-11-06T23:03:00Z</dcterms:created>
  <dcterms:modified xsi:type="dcterms:W3CDTF">2025-11-06T23:03:00Z</dcterms:modified>
</cp:coreProperties>
</file>